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auto"/>
          <w:kern w:val="0"/>
          <w:sz w:val="32"/>
          <w:szCs w:val="32"/>
          <w:highlight w:val="none"/>
        </w:rPr>
      </w:pPr>
      <w:bookmarkStart w:id="18" w:name="_GoBack"/>
      <w:bookmarkEnd w:id="18"/>
      <w:r>
        <w:rPr>
          <w:rFonts w:hint="eastAsia" w:ascii="仿宋" w:hAnsi="仿宋" w:eastAsia="仿宋" w:cs="宋体"/>
          <w:color w:val="auto"/>
          <w:kern w:val="0"/>
          <w:sz w:val="32"/>
          <w:szCs w:val="32"/>
          <w:highlight w:val="none"/>
        </w:rPr>
        <w:t>附件2：</w:t>
      </w: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项目支出绩效自评报告</w:t>
      </w: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 xml:space="preserve">（   </w:t>
      </w:r>
      <w:r>
        <w:rPr>
          <w:rStyle w:val="14"/>
          <w:rFonts w:hint="eastAsia" w:ascii="楷体" w:hAnsi="楷体" w:eastAsia="楷体"/>
          <w:color w:val="auto"/>
          <w:spacing w:val="-4"/>
          <w:sz w:val="32"/>
          <w:szCs w:val="32"/>
          <w:highlight w:val="none"/>
        </w:rPr>
        <w:t>2023</w:t>
      </w:r>
      <w:r>
        <w:rPr>
          <w:rFonts w:hint="eastAsia" w:hAnsi="宋体" w:eastAsia="仿宋_GB2312" w:cs="宋体"/>
          <w:color w:val="auto"/>
          <w:kern w:val="0"/>
          <w:sz w:val="36"/>
          <w:szCs w:val="36"/>
          <w:highlight w:val="none"/>
        </w:rPr>
        <w:t xml:space="preserve">  年度）</w:t>
      </w:r>
    </w:p>
    <w:p>
      <w:pPr>
        <w:spacing w:line="540" w:lineRule="exact"/>
        <w:jc w:val="center"/>
        <w:rPr>
          <w:rFonts w:hAnsi="宋体" w:eastAsia="仿宋_GB2312" w:cs="宋体"/>
          <w:color w:val="auto"/>
          <w:kern w:val="0"/>
          <w:sz w:val="30"/>
          <w:szCs w:val="30"/>
          <w:highlight w:val="none"/>
        </w:rPr>
      </w:pPr>
    </w:p>
    <w:p>
      <w:pPr>
        <w:spacing w:line="540" w:lineRule="exact"/>
        <w:jc w:val="center"/>
        <w:rPr>
          <w:rFonts w:hAnsi="宋体" w:eastAsia="仿宋_GB2312" w:cs="宋体"/>
          <w:color w:val="auto"/>
          <w:kern w:val="0"/>
          <w:sz w:val="30"/>
          <w:szCs w:val="30"/>
          <w:highlight w:val="none"/>
        </w:rPr>
      </w:pPr>
    </w:p>
    <w:p>
      <w:pPr>
        <w:spacing w:line="540" w:lineRule="exact"/>
        <w:jc w:val="center"/>
        <w:rPr>
          <w:rFonts w:hAnsi="宋体" w:eastAsia="仿宋_GB2312" w:cs="宋体"/>
          <w:color w:val="auto"/>
          <w:kern w:val="0"/>
          <w:sz w:val="30"/>
          <w:szCs w:val="30"/>
          <w:highlight w:val="none"/>
        </w:rPr>
      </w:pPr>
    </w:p>
    <w:p>
      <w:pPr>
        <w:spacing w:line="540" w:lineRule="exact"/>
        <w:jc w:val="center"/>
        <w:rPr>
          <w:rFonts w:hAnsi="宋体" w:eastAsia="仿宋_GB2312" w:cs="宋体"/>
          <w:color w:val="auto"/>
          <w:kern w:val="0"/>
          <w:sz w:val="30"/>
          <w:szCs w:val="30"/>
          <w:highlight w:val="none"/>
        </w:rPr>
      </w:pPr>
    </w:p>
    <w:p>
      <w:pPr>
        <w:spacing w:line="540" w:lineRule="exact"/>
        <w:jc w:val="center"/>
        <w:rPr>
          <w:rFonts w:hAnsi="宋体" w:eastAsia="仿宋_GB2312" w:cs="宋体"/>
          <w:color w:val="auto"/>
          <w:kern w:val="0"/>
          <w:sz w:val="30"/>
          <w:szCs w:val="30"/>
          <w:highlight w:val="none"/>
        </w:rPr>
      </w:pPr>
    </w:p>
    <w:p>
      <w:pPr>
        <w:spacing w:line="540" w:lineRule="exact"/>
        <w:jc w:val="center"/>
        <w:rPr>
          <w:rFonts w:hAnsi="宋体" w:eastAsia="仿宋_GB2312" w:cs="宋体"/>
          <w:color w:val="auto"/>
          <w:kern w:val="0"/>
          <w:sz w:val="30"/>
          <w:szCs w:val="30"/>
          <w:highlight w:val="none"/>
        </w:rPr>
      </w:pPr>
    </w:p>
    <w:p>
      <w:pPr>
        <w:spacing w:line="540" w:lineRule="exact"/>
        <w:rPr>
          <w:rFonts w:hAnsi="宋体" w:eastAsia="仿宋_GB2312" w:cs="宋体"/>
          <w:color w:val="auto"/>
          <w:kern w:val="0"/>
          <w:sz w:val="30"/>
          <w:szCs w:val="30"/>
          <w:highlight w:val="none"/>
        </w:rPr>
      </w:pPr>
    </w:p>
    <w:p>
      <w:pPr>
        <w:spacing w:line="700" w:lineRule="exact"/>
        <w:jc w:val="left"/>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 xml:space="preserve">     </w:t>
      </w:r>
    </w:p>
    <w:p>
      <w:pPr>
        <w:spacing w:line="700" w:lineRule="exact"/>
        <w:ind w:firstLine="900" w:firstLineChars="250"/>
        <w:jc w:val="left"/>
        <w:rPr>
          <w:rFonts w:hAnsi="宋体" w:eastAsia="仿宋_GB2312" w:cs="宋体"/>
          <w:b w:val="0"/>
          <w:bCs w:val="0"/>
          <w:color w:val="auto"/>
          <w:kern w:val="0"/>
          <w:sz w:val="36"/>
          <w:szCs w:val="36"/>
          <w:highlight w:val="none"/>
        </w:rPr>
      </w:pPr>
      <w:r>
        <w:rPr>
          <w:rFonts w:hint="eastAsia" w:hAnsi="宋体" w:eastAsia="仿宋_GB2312" w:cs="宋体"/>
          <w:b w:val="0"/>
          <w:bCs w:val="0"/>
          <w:color w:val="auto"/>
          <w:kern w:val="0"/>
          <w:sz w:val="36"/>
          <w:szCs w:val="36"/>
          <w:highlight w:val="none"/>
        </w:rPr>
        <w:t>项目名称：</w:t>
      </w:r>
      <w:r>
        <w:rPr>
          <w:rStyle w:val="14"/>
          <w:rFonts w:hint="eastAsia" w:ascii="楷体" w:hAnsi="楷体" w:eastAsia="楷体"/>
          <w:b w:val="0"/>
          <w:bCs w:val="0"/>
          <w:color w:val="auto"/>
          <w:spacing w:val="-4"/>
          <w:sz w:val="32"/>
          <w:szCs w:val="32"/>
          <w:highlight w:val="none"/>
        </w:rPr>
        <w:t>机场建设项目前期费</w:t>
      </w:r>
    </w:p>
    <w:p>
      <w:pPr>
        <w:spacing w:line="540" w:lineRule="exact"/>
        <w:ind w:firstLine="567"/>
        <w:rPr>
          <w:rFonts w:ascii="楷体" w:hAnsi="楷体" w:eastAsia="楷体"/>
          <w:b w:val="0"/>
          <w:bCs w:val="0"/>
          <w:color w:val="auto"/>
          <w:spacing w:val="-4"/>
          <w:sz w:val="32"/>
          <w:szCs w:val="32"/>
          <w:highlight w:val="none"/>
        </w:rPr>
      </w:pPr>
      <w:r>
        <w:rPr>
          <w:rFonts w:hint="eastAsia" w:hAnsi="宋体" w:eastAsia="仿宋_GB2312" w:cs="宋体"/>
          <w:b w:val="0"/>
          <w:bCs w:val="0"/>
          <w:color w:val="auto"/>
          <w:kern w:val="0"/>
          <w:sz w:val="36"/>
          <w:szCs w:val="36"/>
          <w:highlight w:val="none"/>
        </w:rPr>
        <w:t xml:space="preserve"> 实施单位（公章）：</w:t>
      </w:r>
      <w:r>
        <w:rPr>
          <w:rStyle w:val="14"/>
          <w:rFonts w:hint="eastAsia" w:ascii="楷体" w:hAnsi="楷体" w:eastAsia="楷体"/>
          <w:b w:val="0"/>
          <w:bCs w:val="0"/>
          <w:color w:val="auto"/>
          <w:spacing w:val="-4"/>
          <w:sz w:val="28"/>
          <w:szCs w:val="28"/>
          <w:highlight w:val="none"/>
        </w:rPr>
        <w:t>托克逊县发展和改革委员会(粮食和物资储备局)</w:t>
      </w:r>
    </w:p>
    <w:p>
      <w:pPr>
        <w:spacing w:line="540" w:lineRule="exact"/>
        <w:ind w:firstLine="900" w:firstLineChars="250"/>
        <w:rPr>
          <w:rFonts w:ascii="楷体" w:hAnsi="楷体" w:eastAsia="楷体"/>
          <w:b w:val="0"/>
          <w:bCs w:val="0"/>
          <w:color w:val="auto"/>
          <w:spacing w:val="-4"/>
          <w:sz w:val="28"/>
          <w:szCs w:val="28"/>
          <w:highlight w:val="none"/>
        </w:rPr>
      </w:pPr>
      <w:r>
        <w:rPr>
          <w:rFonts w:hint="eastAsia" w:hAnsi="宋体" w:eastAsia="仿宋_GB2312" w:cs="宋体"/>
          <w:b w:val="0"/>
          <w:bCs w:val="0"/>
          <w:color w:val="auto"/>
          <w:kern w:val="0"/>
          <w:sz w:val="36"/>
          <w:szCs w:val="36"/>
          <w:highlight w:val="none"/>
        </w:rPr>
        <w:t>主管部门（公章）：</w:t>
      </w:r>
      <w:r>
        <w:rPr>
          <w:rStyle w:val="14"/>
          <w:rFonts w:hint="eastAsia" w:ascii="楷体" w:hAnsi="楷体" w:eastAsia="楷体"/>
          <w:b w:val="0"/>
          <w:bCs w:val="0"/>
          <w:color w:val="auto"/>
          <w:spacing w:val="-4"/>
          <w:sz w:val="28"/>
          <w:szCs w:val="28"/>
          <w:highlight w:val="none"/>
        </w:rPr>
        <w:t>托克逊县发展和改革委员会(粮食和物资储备局)</w:t>
      </w:r>
    </w:p>
    <w:p>
      <w:pPr>
        <w:spacing w:line="540" w:lineRule="exact"/>
        <w:ind w:firstLine="900" w:firstLineChars="250"/>
        <w:rPr>
          <w:rFonts w:ascii="楷体" w:hAnsi="楷体" w:eastAsia="楷体"/>
          <w:b w:val="0"/>
          <w:bCs w:val="0"/>
          <w:color w:val="auto"/>
          <w:spacing w:val="-4"/>
          <w:sz w:val="32"/>
          <w:szCs w:val="32"/>
          <w:highlight w:val="none"/>
        </w:rPr>
      </w:pPr>
      <w:r>
        <w:rPr>
          <w:rFonts w:hint="eastAsia" w:hAnsi="宋体" w:eastAsia="仿宋_GB2312" w:cs="宋体"/>
          <w:b w:val="0"/>
          <w:bCs w:val="0"/>
          <w:color w:val="auto"/>
          <w:kern w:val="0"/>
          <w:sz w:val="36"/>
          <w:szCs w:val="36"/>
          <w:highlight w:val="none"/>
        </w:rPr>
        <w:t>项目负责人（签章）：</w:t>
      </w:r>
      <w:r>
        <w:rPr>
          <w:rStyle w:val="14"/>
          <w:rFonts w:hint="eastAsia" w:ascii="楷体" w:hAnsi="楷体" w:eastAsia="楷体"/>
          <w:b w:val="0"/>
          <w:bCs w:val="0"/>
          <w:color w:val="auto"/>
          <w:spacing w:val="-4"/>
          <w:sz w:val="32"/>
          <w:szCs w:val="32"/>
          <w:highlight w:val="none"/>
        </w:rPr>
        <w:t>闫双双</w:t>
      </w:r>
    </w:p>
    <w:p>
      <w:pPr>
        <w:spacing w:line="540" w:lineRule="exact"/>
        <w:ind w:left="273" w:firstLine="567"/>
        <w:rPr>
          <w:rStyle w:val="14"/>
          <w:rFonts w:ascii="楷体" w:hAnsi="楷体" w:eastAsia="楷体"/>
          <w:b w:val="0"/>
          <w:bCs w:val="0"/>
          <w:color w:val="auto"/>
          <w:spacing w:val="-4"/>
          <w:sz w:val="32"/>
          <w:szCs w:val="32"/>
          <w:highlight w:val="none"/>
        </w:rPr>
      </w:pPr>
      <w:r>
        <w:rPr>
          <w:rFonts w:hint="eastAsia" w:hAnsi="宋体" w:eastAsia="仿宋_GB2312" w:cs="宋体"/>
          <w:b w:val="0"/>
          <w:bCs w:val="0"/>
          <w:color w:val="auto"/>
          <w:kern w:val="0"/>
          <w:sz w:val="36"/>
          <w:szCs w:val="36"/>
          <w:highlight w:val="none"/>
        </w:rPr>
        <w:t>填报时间：</w:t>
      </w:r>
      <w:r>
        <w:rPr>
          <w:rStyle w:val="14"/>
          <w:rFonts w:hint="eastAsia" w:ascii="楷体" w:hAnsi="楷体" w:eastAsia="楷体"/>
          <w:b w:val="0"/>
          <w:bCs w:val="0"/>
          <w:color w:val="auto"/>
          <w:spacing w:val="-4"/>
          <w:sz w:val="32"/>
          <w:szCs w:val="32"/>
          <w:highlight w:val="none"/>
        </w:rPr>
        <w:t>2024年0</w:t>
      </w:r>
      <w:r>
        <w:rPr>
          <w:rStyle w:val="14"/>
          <w:rFonts w:hint="eastAsia" w:ascii="楷体" w:hAnsi="楷体" w:eastAsia="楷体"/>
          <w:b w:val="0"/>
          <w:bCs w:val="0"/>
          <w:color w:val="auto"/>
          <w:spacing w:val="-4"/>
          <w:sz w:val="32"/>
          <w:szCs w:val="32"/>
          <w:highlight w:val="none"/>
          <w:lang w:val="en-US" w:eastAsia="zh-CN"/>
        </w:rPr>
        <w:t>3</w:t>
      </w:r>
      <w:r>
        <w:rPr>
          <w:rStyle w:val="14"/>
          <w:rFonts w:hint="eastAsia" w:ascii="楷体" w:hAnsi="楷体" w:eastAsia="楷体"/>
          <w:b w:val="0"/>
          <w:bCs w:val="0"/>
          <w:color w:val="auto"/>
          <w:spacing w:val="-4"/>
          <w:sz w:val="32"/>
          <w:szCs w:val="32"/>
          <w:highlight w:val="none"/>
        </w:rPr>
        <w:t>月1</w:t>
      </w:r>
      <w:r>
        <w:rPr>
          <w:rStyle w:val="14"/>
          <w:rFonts w:hint="eastAsia" w:ascii="楷体" w:hAnsi="楷体" w:eastAsia="楷体"/>
          <w:b w:val="0"/>
          <w:bCs w:val="0"/>
          <w:color w:val="auto"/>
          <w:spacing w:val="-4"/>
          <w:sz w:val="32"/>
          <w:szCs w:val="32"/>
          <w:highlight w:val="none"/>
          <w:lang w:val="en-US" w:eastAsia="zh-CN"/>
        </w:rPr>
        <w:t>5</w:t>
      </w:r>
      <w:r>
        <w:rPr>
          <w:rStyle w:val="14"/>
          <w:rFonts w:hint="eastAsia" w:ascii="楷体" w:hAnsi="楷体" w:eastAsia="楷体"/>
          <w:b w:val="0"/>
          <w:bCs w:val="0"/>
          <w:color w:val="auto"/>
          <w:spacing w:val="-4"/>
          <w:sz w:val="32"/>
          <w:szCs w:val="32"/>
          <w:highlight w:val="none"/>
        </w:rPr>
        <w:t>日</w:t>
      </w:r>
    </w:p>
    <w:p>
      <w:pPr>
        <w:spacing w:line="240" w:lineRule="atLeast"/>
        <w:jc w:val="center"/>
        <w:rPr>
          <w:rFonts w:hint="eastAsia" w:ascii="黑体" w:hAnsi="黑体" w:eastAsia="黑体" w:cs="黑体"/>
          <w:b/>
          <w:bCs/>
          <w:color w:val="auto"/>
          <w:sz w:val="36"/>
          <w:szCs w:val="36"/>
          <w:highlight w:val="none"/>
        </w:rPr>
      </w:pP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机场建设项目前期费项目支出绩效评价报告</w:t>
      </w:r>
    </w:p>
    <w:p>
      <w:pPr>
        <w:pStyle w:val="4"/>
        <w:ind w:firstLine="640"/>
        <w:rPr>
          <w:rFonts w:hint="eastAsia"/>
          <w:color w:val="auto"/>
          <w:highlight w:val="none"/>
        </w:rPr>
      </w:pP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pStyle w:val="6"/>
        <w:ind w:firstLine="562"/>
        <w:rPr>
          <w:rFonts w:hint="eastAsia"/>
          <w:b w:val="0"/>
          <w:bCs w:val="0"/>
          <w:color w:val="auto"/>
          <w:highlight w:val="none"/>
          <w:lang w:val="en-US" w:eastAsia="zh-CN"/>
        </w:rPr>
      </w:pPr>
      <w:r>
        <w:rPr>
          <w:rFonts w:hint="eastAsia"/>
          <w:b w:val="0"/>
          <w:bCs w:val="0"/>
          <w:color w:val="auto"/>
          <w:highlight w:val="none"/>
          <w:lang w:val="en-US" w:eastAsia="zh-CN"/>
        </w:rPr>
        <w:t>自治区人民政府《关于加快通用航空业发展的意见》中明确，到 2030年，建成200个以上通用机场，基本实现通用航空县县通、团团通，充分利用现有民用运输机场，按照枢纽机场+支线机场+通用机场三级航空体系发展模式构建“三位一体、全面覆盖”的通用航空网络，力争用 5-10年的时间建成布局合理，规模适当、功能完善的通用航空机场体系。托克逊通用机场建设项目已列入托克逊县“十四五”发展规划纲要，机场的建设是对国家战略决策发展的支持，也是托克逊县人民随着经济不断发展而演变出的新的需求，可以大大的推动托克逊县的经济发展和就业岗位，促进托克逊县旅游景区迈向新的大门，也是响应“十四五”规划，推动丝绸之路经济带核心区建设的必要之举。</w:t>
      </w:r>
    </w:p>
    <w:p>
      <w:pPr>
        <w:rPr>
          <w:rFonts w:hint="eastAsia" w:eastAsia="仿宋_GB2312"/>
          <w:color w:val="auto"/>
          <w:highlight w:val="none"/>
          <w:lang w:eastAsia="zh-CN"/>
        </w:rPr>
      </w:pPr>
      <w:r>
        <w:rPr>
          <w:rFonts w:hint="eastAsia"/>
          <w:color w:val="auto"/>
          <w:highlight w:val="none"/>
        </w:rPr>
        <w:t>吐鲁番市托克逊县位于南疆、北疆、东疆交汇地带，项目建成后，将成为连接南疆、北疆、东疆通用航空网络的重要节点，有利于进一步完善全疆航空网络，构建现代化立体交通运输体系，加快形成“疆内环起来、进出疆快起来”交通网络格局，更好服务和保障自治区丝绸之路经济带核心区建设，深化区域间和南疆、北疆、东疆之间的沟通往来，推动优势资源开发利用，辐射带动吐鲁番乃至全疆旅游产业提档升级，提升国防建设现代化水平和区域应急保障能力，对促进军民深度融合具有重要意义，同时，通用机场的建设为区域应急救援、抢险救灾和处置突发事件提供了航空保障，对维护区域政治稳定和促进民族文化交流具有积极作用</w:t>
      </w:r>
      <w:r>
        <w:rPr>
          <w:rFonts w:hint="eastAsia"/>
          <w:color w:val="auto"/>
          <w:highlight w:val="none"/>
          <w:lang w:eastAsia="zh-CN"/>
        </w:rPr>
        <w:t>。</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项目名称：机场建设项目前期费</w:t>
      </w:r>
    </w:p>
    <w:p>
      <w:pPr>
        <w:ind w:firstLine="562"/>
        <w:rPr>
          <w:rFonts w:hint="eastAsia"/>
          <w:color w:val="auto"/>
          <w:highlight w:val="none"/>
          <w:lang w:val="en-US" w:eastAsia="zh-CN"/>
        </w:rPr>
      </w:pPr>
      <w:r>
        <w:rPr>
          <w:rFonts w:hint="eastAsia"/>
          <w:color w:val="auto"/>
          <w:highlight w:val="none"/>
          <w:lang w:val="en-US" w:eastAsia="zh-CN"/>
        </w:rPr>
        <w:t>项目主要内容：1、完成托克逊县通用机场建设项目可研、选址、初步设计等报告编制，为托克逊通用机场项目建设夯实基础； 2、成为连接南疆、北疆、东疆通用航空网络重要节点，深化区域间沟通往来，带动吐鲁番旅游产业发展提档升级； 3、通用机场建设为区域应急救援、抢险救灾和处置突发事件提供了航空保障，对维护区域政治稳定和促进民族文化交流具有积极作用。</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rPr>
        <w:t>托克逊县发展和改革委员会(粮食和物资储备局)</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1、2023年完成托克逊县通用机场选址报告编制，并通过送审和终审，为托克逊通用机场项目建设夯实基础；2、项目于2023年7月13日召开选址报告审查会后，已完成托克逊县通用机场建设的可行性研究报告初稿编制，由于到2024年1月才取得民航新疆管理局关于选址的审查意见，因此直接影响项目可研报告的定稿和送审；3、项目初步设计报告应选址审查意见和在可研报告确定后编制，因此2023年未完成。4、本项目的实施，夯实了通用机场项目建设基础，为项目建设提供了精准、精确的数据及设计依据。</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400</w:t>
      </w:r>
      <w:r>
        <w:rPr>
          <w:color w:val="auto"/>
          <w:highlight w:val="none"/>
        </w:rPr>
        <w:t>万元，其中财政资金</w:t>
      </w:r>
      <w:r>
        <w:rPr>
          <w:rFonts w:hint="eastAsia"/>
          <w:color w:val="auto"/>
          <w:highlight w:val="none"/>
          <w:lang w:val="en-US" w:eastAsia="zh-CN"/>
        </w:rPr>
        <w:t>400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400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6"/>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372.04</w:t>
      </w:r>
      <w:r>
        <w:rPr>
          <w:rFonts w:hint="eastAsia"/>
          <w:b w:val="0"/>
          <w:bCs w:val="0"/>
          <w:color w:val="auto"/>
          <w:highlight w:val="none"/>
        </w:rPr>
        <w:t>万元，预算执行率</w:t>
      </w:r>
      <w:r>
        <w:rPr>
          <w:rFonts w:hint="eastAsia"/>
          <w:b w:val="0"/>
          <w:bCs w:val="0"/>
          <w:color w:val="auto"/>
          <w:highlight w:val="none"/>
          <w:lang w:val="en-US" w:eastAsia="zh-CN"/>
        </w:rPr>
        <w:t>93.01</w:t>
      </w:r>
      <w:r>
        <w:rPr>
          <w:rFonts w:hint="eastAsia"/>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结余资金27.96</w:t>
      </w:r>
      <w:r>
        <w:rPr>
          <w:rFonts w:hint="eastAsia"/>
          <w:b w:val="0"/>
          <w:bCs w:val="0"/>
          <w:color w:val="auto"/>
          <w:highlight w:val="none"/>
        </w:rPr>
        <w:t>万元。项目资金主要用于支付编制可行性研究报告费用</w:t>
      </w:r>
      <w:r>
        <w:rPr>
          <w:rFonts w:hint="eastAsia"/>
          <w:b w:val="0"/>
          <w:bCs w:val="0"/>
          <w:color w:val="auto"/>
          <w:highlight w:val="none"/>
          <w:lang w:val="en-US" w:eastAsia="zh-CN"/>
        </w:rPr>
        <w:t>63</w:t>
      </w:r>
      <w:r>
        <w:rPr>
          <w:rFonts w:hint="eastAsia"/>
          <w:b w:val="0"/>
          <w:bCs w:val="0"/>
          <w:color w:val="auto"/>
          <w:highlight w:val="none"/>
        </w:rPr>
        <w:t>万元，编制选址报告费用</w:t>
      </w:r>
      <w:r>
        <w:rPr>
          <w:rFonts w:hint="eastAsia"/>
          <w:b w:val="0"/>
          <w:bCs w:val="0"/>
          <w:color w:val="auto"/>
          <w:highlight w:val="none"/>
          <w:lang w:val="en-US" w:eastAsia="zh-CN"/>
        </w:rPr>
        <w:t>225</w:t>
      </w:r>
      <w:r>
        <w:rPr>
          <w:rFonts w:hint="eastAsia"/>
          <w:b w:val="0"/>
          <w:bCs w:val="0"/>
          <w:color w:val="auto"/>
          <w:highlight w:val="none"/>
        </w:rPr>
        <w:t>万元</w:t>
      </w:r>
      <w:r>
        <w:rPr>
          <w:rFonts w:hint="eastAsia"/>
          <w:b w:val="0"/>
          <w:bCs w:val="0"/>
          <w:color w:val="auto"/>
          <w:highlight w:val="none"/>
          <w:lang w:eastAsia="zh-CN"/>
        </w:rPr>
        <w:t>，编制初步设计费用</w:t>
      </w:r>
      <w:r>
        <w:rPr>
          <w:rFonts w:hint="eastAsia"/>
          <w:b w:val="0"/>
          <w:bCs w:val="0"/>
          <w:color w:val="auto"/>
          <w:highlight w:val="none"/>
          <w:lang w:val="en-US" w:eastAsia="zh-CN"/>
        </w:rPr>
        <w:t>84.04万元。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为：目标1、完成托克逊县通用机场建设项目可研、选址、初步设计等报告编制，为托克逊通用机场项目建设夯实基础；</w:t>
      </w:r>
    </w:p>
    <w:p>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 xml:space="preserve">目标 2、成为连接南疆、北疆、东疆通用航空网络重要节点，深化区域间沟通往来，带动吐鲁番旅游产业发展提档升级； </w:t>
      </w:r>
    </w:p>
    <w:p>
      <w:pPr>
        <w:pStyle w:val="6"/>
        <w:bidi w:val="0"/>
        <w:rPr>
          <w:rFonts w:hint="default" w:ascii="宋体" w:hAnsi="宋体" w:eastAsia="宋体"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目标3、通用机场建设为区域应急救援、抢险救灾和处置突发事件提供了航空保障，对维护区域政治稳定和促进民族文化交流具有积极作用。</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eastAsia"/>
          <w:color w:val="auto"/>
          <w:highlight w:val="none"/>
          <w:lang w:val="en-US" w:eastAsia="zh-CN"/>
        </w:rPr>
      </w:pPr>
      <w:r>
        <w:rPr>
          <w:rFonts w:hint="eastAsia"/>
          <w:color w:val="auto"/>
          <w:highlight w:val="none"/>
          <w:lang w:val="en-US" w:eastAsia="zh-CN"/>
        </w:rPr>
        <w:t>“编制可行性研究报告项目个数”指标，预期指标值为大于等于1个；</w:t>
      </w:r>
    </w:p>
    <w:p>
      <w:pPr>
        <w:ind w:firstLine="560"/>
        <w:rPr>
          <w:rFonts w:hint="default"/>
          <w:color w:val="auto"/>
          <w:highlight w:val="none"/>
          <w:lang w:val="en-US"/>
        </w:rPr>
      </w:pPr>
      <w:r>
        <w:rPr>
          <w:rFonts w:hint="eastAsia"/>
          <w:color w:val="auto"/>
          <w:highlight w:val="none"/>
        </w:rPr>
        <w:t>“编制选址报告项目个数”指标，预期指标值为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“编制初步设计项目个数”指标，预期指标值为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pPr>
        <w:ind w:firstLine="560"/>
        <w:rPr>
          <w:color w:val="auto"/>
          <w:highlight w:val="none"/>
        </w:rPr>
      </w:pPr>
      <w:r>
        <w:rPr>
          <w:rFonts w:hint="eastAsia"/>
          <w:color w:val="auto"/>
          <w:highlight w:val="none"/>
        </w:rPr>
        <w:t>“报告合格率”指标，预期指标值</w:t>
      </w:r>
      <w:r>
        <w:rPr>
          <w:rFonts w:hint="eastAsia"/>
          <w:color w:val="auto"/>
          <w:highlight w:val="none"/>
          <w:lang w:eastAsia="zh-CN"/>
        </w:rPr>
        <w:t>为</w:t>
      </w:r>
      <w:r>
        <w:rPr>
          <w:rFonts w:hint="eastAsia"/>
          <w:color w:val="auto"/>
          <w:highlight w:val="none"/>
          <w:lang w:val="en-US" w:eastAsia="zh-CN"/>
        </w:rPr>
        <w:t>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“报告按时完成率”指标，预期指标值为</w:t>
      </w:r>
      <w:r>
        <w:rPr>
          <w:rFonts w:hint="eastAsia"/>
          <w:color w:val="auto"/>
          <w:highlight w:val="none"/>
          <w:lang w:eastAsia="zh-CN"/>
        </w:rPr>
        <w:t>大于等于</w:t>
      </w:r>
      <w:r>
        <w:rPr>
          <w:rFonts w:hint="eastAsia"/>
          <w:color w:val="auto"/>
          <w:highlight w:val="none"/>
        </w:rPr>
        <w:t>95%</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“资金及时支付率”指标，预期指标值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“编制可行性研究报告费用”指标，预期指标值为</w:t>
      </w:r>
      <w:r>
        <w:rPr>
          <w:rFonts w:hint="eastAsia"/>
          <w:color w:val="auto"/>
          <w:highlight w:val="none"/>
          <w:lang w:eastAsia="zh-CN"/>
        </w:rPr>
        <w:t>小于等于</w:t>
      </w:r>
      <w:r>
        <w:rPr>
          <w:rFonts w:hint="eastAsia"/>
          <w:color w:val="auto"/>
          <w:highlight w:val="none"/>
        </w:rPr>
        <w:t>65万元；</w:t>
      </w:r>
    </w:p>
    <w:p>
      <w:pPr>
        <w:ind w:firstLine="560"/>
        <w:rPr>
          <w:rFonts w:hint="eastAsia"/>
          <w:color w:val="auto"/>
          <w:highlight w:val="none"/>
        </w:rPr>
      </w:pPr>
      <w:r>
        <w:rPr>
          <w:rFonts w:hint="eastAsia"/>
          <w:color w:val="auto"/>
          <w:highlight w:val="none"/>
        </w:rPr>
        <w:t>“编制选址报告费用”指标，预期指标值为</w:t>
      </w:r>
      <w:r>
        <w:rPr>
          <w:rFonts w:hint="eastAsia"/>
          <w:color w:val="auto"/>
          <w:highlight w:val="none"/>
          <w:lang w:eastAsia="zh-CN"/>
        </w:rPr>
        <w:t>小于等于</w:t>
      </w:r>
      <w:r>
        <w:rPr>
          <w:rFonts w:hint="eastAsia"/>
          <w:color w:val="auto"/>
          <w:highlight w:val="none"/>
        </w:rPr>
        <w:t>225万元；</w:t>
      </w:r>
    </w:p>
    <w:p>
      <w:pPr>
        <w:ind w:firstLine="560"/>
        <w:rPr>
          <w:rFonts w:hint="eastAsia" w:eastAsia="仿宋_GB2312"/>
          <w:color w:val="auto"/>
          <w:highlight w:val="none"/>
          <w:lang w:eastAsia="zh-CN"/>
        </w:rPr>
      </w:pPr>
      <w:r>
        <w:rPr>
          <w:rFonts w:hint="eastAsia"/>
          <w:color w:val="auto"/>
          <w:highlight w:val="none"/>
        </w:rPr>
        <w:t>“编制初步设计费用”指标，预期指标值为</w:t>
      </w:r>
      <w:r>
        <w:rPr>
          <w:rFonts w:hint="eastAsia"/>
          <w:color w:val="auto"/>
          <w:highlight w:val="none"/>
          <w:lang w:eastAsia="zh-CN"/>
        </w:rPr>
        <w:t>小于等于</w:t>
      </w:r>
      <w:r>
        <w:rPr>
          <w:rFonts w:hint="eastAsia"/>
          <w:color w:val="auto"/>
          <w:highlight w:val="none"/>
        </w:rPr>
        <w:t>110万元</w:t>
      </w:r>
      <w:r>
        <w:rPr>
          <w:rFonts w:hint="eastAsia"/>
          <w:color w:val="auto"/>
          <w:highlight w:val="none"/>
          <w:lang w:eastAsia="zh-CN"/>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eastAsia="zh-CN"/>
        </w:rPr>
      </w:pPr>
      <w:r>
        <w:rPr>
          <w:rFonts w:hint="eastAsia"/>
          <w:color w:val="auto"/>
          <w:highlight w:val="none"/>
          <w:lang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“填补托克逊通用机场空白”指标，预期指标值为有效填补；</w:t>
      </w:r>
    </w:p>
    <w:p>
      <w:pPr>
        <w:ind w:firstLine="560"/>
        <w:rPr>
          <w:color w:val="auto"/>
          <w:highlight w:val="none"/>
        </w:rPr>
      </w:pPr>
      <w:r>
        <w:rPr>
          <w:rFonts w:hint="eastAsia"/>
          <w:color w:val="auto"/>
          <w:highlight w:val="none"/>
        </w:rPr>
        <w:t>“提升托克逊县及周边人群长途出行效率”指标，预期指标值为有效提升；</w:t>
      </w:r>
    </w:p>
    <w:p>
      <w:pPr>
        <w:ind w:firstLine="560"/>
        <w:rPr>
          <w:color w:val="auto"/>
          <w:highlight w:val="none"/>
        </w:rPr>
      </w:pPr>
      <w:r>
        <w:rPr>
          <w:rFonts w:hint="eastAsia"/>
          <w:color w:val="auto"/>
          <w:highlight w:val="none"/>
        </w:rPr>
        <w:t>③生态效益指标</w:t>
      </w:r>
    </w:p>
    <w:p>
      <w:pPr>
        <w:ind w:firstLine="562"/>
        <w:rPr>
          <w:rFonts w:hint="eastAsia" w:eastAsia="仿宋"/>
          <w:color w:val="auto"/>
          <w:highlight w:val="none"/>
          <w:lang w:eastAsia="zh-CN"/>
        </w:rPr>
      </w:pPr>
      <w:r>
        <w:rPr>
          <w:rFonts w:hint="eastAsia" w:eastAsia="仿宋"/>
          <w:color w:val="auto"/>
          <w:highlight w:val="none"/>
          <w:lang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2"/>
        <w:rPr>
          <w:rFonts w:hint="eastAsia" w:eastAsia="仿宋"/>
          <w:color w:val="auto"/>
          <w:highlight w:val="none"/>
          <w:lang w:eastAsia="zh-CN"/>
        </w:rPr>
      </w:pPr>
      <w:r>
        <w:rPr>
          <w:rFonts w:hint="eastAsia" w:eastAsia="仿宋"/>
          <w:color w:val="auto"/>
          <w:highlight w:val="none"/>
          <w:lang w:eastAsia="zh-CN"/>
        </w:rPr>
        <w:t>无</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22922"/>
      <w:bookmarkStart w:id="1" w:name="_Toc21664"/>
      <w:bookmarkStart w:id="2" w:name="_Toc26632"/>
      <w:bookmarkStart w:id="3" w:name="_Toc12868"/>
      <w:bookmarkStart w:id="4" w:name="_Toc5462343"/>
      <w:bookmarkStart w:id="5" w:name="_Toc480473081"/>
      <w:bookmarkStart w:id="6" w:name="_Toc22169_WPSOffice_Level2"/>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此次我单位根据《财政支出绩效评价管理暂行办法》（财预〔2020〕10号）文件要求实施评价工作，本次评价对象为机场建设项目前期费项目，评价核心为项目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26131"/>
      <w:bookmarkStart w:id="9" w:name="_Toc1913"/>
      <w:bookmarkStart w:id="10" w:name="_Toc419984722"/>
      <w:bookmarkStart w:id="11" w:name="_Toc428278230"/>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（1）评价组组长：闫双双，</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（2）评价组成员：帕日地古丽·艾白布，</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（3）评价组成员：李进，</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较大程度达成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bidi w:val="0"/>
        <w:rPr>
          <w:rFonts w:hint="eastAsia"/>
          <w:color w:val="auto"/>
          <w:highlight w:val="none"/>
          <w:lang w:eastAsia="zh-CN"/>
        </w:rPr>
      </w:pPr>
      <w:r>
        <w:rPr>
          <w:rFonts w:hint="eastAsia"/>
          <w:color w:val="auto"/>
          <w:highlight w:val="none"/>
          <w:lang w:eastAsia="zh-CN"/>
        </w:rPr>
        <w:t>项目产出方面：本项目已完成：托克逊县通用机场选址报告编制，为托克逊通用机场项目建设夯实基础；成为连接南疆、北疆、东疆通用航空网络重要节点，深化区域间沟通往来，带动吐鲁番旅游产业发展提档升级。</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本项目的实施，夯实了通用机场项目建设基础，为项目建设提供了精准、精确的数据及设计依据。</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93.95分，绩效评级为“优秀”。综合评价结论如下：本项目决策指标共设置6个，满分20分，得分率100%；项目过程指标共设置5个，满分20分，得分率98.6%；项目产出指标共设置7个，满分24分，得分率80.09%；项目成本指标共设置3个，满分12分，得分率91.75%；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项目立项符合自治区人民政府颁发的《关于加快通用航空业发展的意见》</w:t>
      </w:r>
      <w:r>
        <w:rPr>
          <w:rFonts w:hint="eastAsia"/>
          <w:color w:val="auto"/>
          <w:highlight w:val="none"/>
          <w:lang w:eastAsia="zh-Hans" w:bidi="ar"/>
        </w:rPr>
        <w:t>中</w:t>
      </w:r>
      <w:r>
        <w:rPr>
          <w:rFonts w:hint="eastAsia"/>
          <w:color w:val="auto"/>
          <w:highlight w:val="none"/>
          <w:lang w:bidi="ar"/>
        </w:rPr>
        <w:t>：“</w:t>
      </w:r>
      <w:r>
        <w:rPr>
          <w:rFonts w:hint="eastAsia"/>
          <w:color w:val="auto"/>
          <w:highlight w:val="none"/>
          <w:lang w:eastAsia="zh-Hans"/>
        </w:rPr>
        <w:t>到 2030年，建成200个以上通用机场，基本实现通用航空县县通、团团通，充分利用现有民用运输机场，按照枢纽机场+支线机场+通用机场三级航空体系发展模式构建“三位一体、全面覆盖”的通用航空网络，力争用 5-10年的时间建成布局合理，规模适当、功能完善的通用航空机场体系。</w:t>
      </w:r>
      <w:r>
        <w:rPr>
          <w:rFonts w:hint="eastAsia"/>
          <w:color w:val="auto"/>
          <w:highlight w:val="none"/>
          <w:lang w:bidi="ar"/>
        </w:rPr>
        <w:t>”</w:t>
      </w:r>
      <w:r>
        <w:rPr>
          <w:rFonts w:hint="eastAsia"/>
          <w:color w:val="auto"/>
          <w:highlight w:val="none"/>
        </w:rPr>
        <w:t>；本项目</w:t>
      </w:r>
      <w:r>
        <w:rPr>
          <w:rFonts w:hint="eastAsia"/>
          <w:color w:val="auto"/>
          <w:highlight w:val="none"/>
          <w:lang w:eastAsia="zh-Hans"/>
        </w:rPr>
        <w:t>立项符合《关于加快通用航空业发展的意见</w:t>
      </w:r>
      <w:r>
        <w:rPr>
          <w:rFonts w:hint="eastAsia"/>
          <w:color w:val="auto"/>
          <w:highlight w:val="none"/>
          <w:lang w:eastAsia="zh-Hans" w:bidi="ar"/>
        </w:rPr>
        <w:t>》</w:t>
      </w:r>
      <w:r>
        <w:rPr>
          <w:rFonts w:hint="eastAsia"/>
          <w:color w:val="auto"/>
          <w:highlight w:val="none"/>
          <w:lang w:eastAsia="zh-Hans"/>
        </w:rPr>
        <w:t>中</w:t>
      </w:r>
      <w:r>
        <w:rPr>
          <w:rFonts w:hint="eastAsia"/>
          <w:color w:val="auto"/>
          <w:highlight w:val="none"/>
        </w:rPr>
        <w:t>：“</w:t>
      </w:r>
      <w:r>
        <w:rPr>
          <w:rFonts w:hint="eastAsia"/>
          <w:color w:val="auto"/>
          <w:highlight w:val="none"/>
          <w:lang w:eastAsia="zh-Hans"/>
        </w:rPr>
        <w:t>到 2030年，建成200个以上通用机场，基本实现通用航空县县通、团团通，充分利用现有民用运输机场，按照枢纽机场+支线机场+通用机场三级航空体系发展模式构建“三位一体、全面覆盖”的通用航空网络，力争用 5-10年的时间建成布局合理，规模适当、功能完善的通用航空机场体系</w:t>
      </w:r>
      <w:r>
        <w:rPr>
          <w:rFonts w:hint="eastAsia"/>
          <w:color w:val="auto"/>
          <w:highlight w:val="none"/>
        </w:rPr>
        <w:t>”</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发改委</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中的“机场建设项目前期费”工作这一部门职责范围相符</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2010499其他发展和改革事务支出</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委托业务费</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单位按照程序向县财政局提交了机场建设项目前期费申请报告、项目资金明细表等相关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pPr>
        <w:bidi w:val="0"/>
        <w:rPr>
          <w:rFonts w:hint="eastAsia"/>
          <w:color w:val="auto"/>
          <w:highlight w:val="none"/>
          <w:lang w:val="en-US" w:eastAsia="zh-CN"/>
        </w:rPr>
      </w:pPr>
      <w:r>
        <w:rPr>
          <w:rFonts w:hint="eastAsia"/>
          <w:color w:val="auto"/>
          <w:highlight w:val="none"/>
          <w:lang w:eastAsia="zh-CN"/>
        </w:rPr>
        <w:t>目标</w:t>
      </w:r>
      <w:r>
        <w:rPr>
          <w:rFonts w:hint="eastAsia"/>
          <w:color w:val="auto"/>
          <w:highlight w:val="none"/>
          <w:lang w:val="en-US" w:eastAsia="zh-CN"/>
        </w:rPr>
        <w:t>1、完成托克逊县通用机场建设项目可研、选址、初步设计等报告编制，为托克逊通用机场项目建设夯实基础；</w:t>
      </w:r>
    </w:p>
    <w:p>
      <w:pPr>
        <w:bidi w:val="0"/>
        <w:rPr>
          <w:rFonts w:hint="eastAsia"/>
          <w:color w:val="auto"/>
          <w:highlight w:val="none"/>
          <w:lang w:val="en-US" w:eastAsia="zh-CN"/>
        </w:rPr>
      </w:pPr>
      <w:r>
        <w:rPr>
          <w:rFonts w:hint="eastAsia"/>
          <w:color w:val="auto"/>
          <w:highlight w:val="none"/>
          <w:lang w:val="en-US" w:eastAsia="zh-CN"/>
        </w:rPr>
        <w:t xml:space="preserve">目标 2、成为连接南疆、北疆、东疆通用航空网络重要节点，深化区域间沟通往来，带动吐鲁番旅游产业发展提档升级； </w:t>
      </w:r>
    </w:p>
    <w:p>
      <w:pPr>
        <w:bidi w:val="0"/>
        <w:rPr>
          <w:rFonts w:hint="eastAsia"/>
          <w:color w:val="auto"/>
          <w:highlight w:val="none"/>
          <w:lang w:val="en-US" w:eastAsia="zh-CN"/>
        </w:rPr>
      </w:pPr>
      <w:r>
        <w:rPr>
          <w:rFonts w:hint="eastAsia"/>
          <w:color w:val="auto"/>
          <w:highlight w:val="none"/>
          <w:lang w:val="en-US" w:eastAsia="zh-CN"/>
        </w:rPr>
        <w:t>目标3、通用机场建设为区域应急救援、抢险救灾和处置突发事件提供了航空保障，对维护区域政治稳定和促进民族文化交流具有积极作用。</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400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400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400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机场建设项目前期费</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color w:val="auto"/>
          <w:highlight w:val="none"/>
        </w:rPr>
        <w:t>编制可行性研究报告费用</w:t>
      </w:r>
      <w:r>
        <w:rPr>
          <w:rFonts w:hint="eastAsia" w:ascii="仿宋_GB2312" w:cs="仿宋_GB2312"/>
          <w:color w:val="auto"/>
          <w:sz w:val="28"/>
          <w:szCs w:val="28"/>
          <w:highlight w:val="none"/>
          <w:lang w:val="en-US" w:eastAsia="zh-CN"/>
        </w:rPr>
        <w:t>65</w:t>
      </w:r>
      <w:r>
        <w:rPr>
          <w:rFonts w:hint="eastAsia" w:ascii="仿宋_GB2312" w:cs="仿宋_GB2312"/>
          <w:color w:val="auto"/>
          <w:sz w:val="28"/>
          <w:szCs w:val="28"/>
          <w:highlight w:val="none"/>
        </w:rPr>
        <w:t>万元、</w:t>
      </w:r>
      <w:r>
        <w:rPr>
          <w:rFonts w:hint="eastAsia"/>
          <w:color w:val="auto"/>
          <w:highlight w:val="none"/>
        </w:rPr>
        <w:t>编制选址报告费用</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225</w:t>
      </w:r>
      <w:r>
        <w:rPr>
          <w:rFonts w:hint="eastAsia" w:ascii="仿宋_GB2312" w:cs="仿宋_GB2312"/>
          <w:color w:val="auto"/>
          <w:sz w:val="28"/>
          <w:szCs w:val="28"/>
          <w:highlight w:val="none"/>
        </w:rPr>
        <w:t>万元、</w:t>
      </w:r>
      <w:r>
        <w:rPr>
          <w:rFonts w:hint="eastAsia"/>
          <w:color w:val="auto"/>
          <w:highlight w:val="none"/>
        </w:rPr>
        <w:t>编制初步设计费用</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110</w:t>
      </w:r>
      <w:r>
        <w:rPr>
          <w:rFonts w:hint="eastAsia" w:ascii="仿宋_GB2312" w:cs="仿宋_GB2312"/>
          <w:color w:val="auto"/>
          <w:sz w:val="28"/>
          <w:szCs w:val="28"/>
          <w:highlight w:val="none"/>
        </w:rPr>
        <w:t>万元。预算确定资金量与实际工作任务相匹配。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申请机场建设项目前期费项目资金的请示</w:t>
      </w:r>
      <w:r>
        <w:rPr>
          <w:rFonts w:hint="eastAsia"/>
          <w:color w:val="auto"/>
          <w:highlight w:val="none"/>
          <w:lang w:eastAsia="zh-Hans" w:bidi="ar"/>
        </w:rPr>
        <w:t>》</w:t>
      </w:r>
      <w:r>
        <w:rPr>
          <w:rFonts w:hint="eastAsia"/>
          <w:color w:val="auto"/>
          <w:highlight w:val="none"/>
          <w:lang w:bidi="ar"/>
        </w:rPr>
        <w:t>和《机场建设项目前期费项目实施方案》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。根据《机场建设项目前期费资金下达文件》文件显示，本项目实际到位资金</w:t>
      </w:r>
      <w:r>
        <w:rPr>
          <w:rFonts w:hint="eastAsia"/>
          <w:color w:val="auto"/>
          <w:highlight w:val="none"/>
          <w:lang w:val="en-US" w:eastAsia="zh-CN" w:bidi="ar"/>
        </w:rPr>
        <w:t>400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19.72</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400</w:t>
      </w:r>
      <w:r>
        <w:rPr>
          <w:rFonts w:hint="eastAsia"/>
          <w:color w:val="auto"/>
          <w:highlight w:val="none"/>
        </w:rPr>
        <w:t>万元，其中：本级财政安排资金</w:t>
      </w:r>
      <w:r>
        <w:rPr>
          <w:rFonts w:hint="eastAsia"/>
          <w:color w:val="auto"/>
          <w:highlight w:val="none"/>
          <w:lang w:val="en-US" w:eastAsia="zh-CN"/>
        </w:rPr>
        <w:t>400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400</w:t>
      </w:r>
      <w:r>
        <w:rPr>
          <w:rFonts w:hint="eastAsia"/>
          <w:color w:val="auto"/>
          <w:highlight w:val="none"/>
        </w:rPr>
        <w:t>万元，资金到位率=（实际到位资金/预算资金）×100%=（</w:t>
      </w:r>
      <w:r>
        <w:rPr>
          <w:rFonts w:hint="eastAsia"/>
          <w:color w:val="auto"/>
          <w:highlight w:val="none"/>
          <w:lang w:val="en-US" w:eastAsia="zh-CN"/>
        </w:rPr>
        <w:t>400</w:t>
      </w:r>
      <w:r>
        <w:rPr>
          <w:rFonts w:hint="eastAsia"/>
          <w:color w:val="auto"/>
          <w:highlight w:val="none"/>
        </w:rPr>
        <w:t>/</w:t>
      </w:r>
      <w:r>
        <w:rPr>
          <w:rFonts w:hint="eastAsia"/>
          <w:color w:val="auto"/>
          <w:highlight w:val="none"/>
          <w:lang w:val="en-US" w:eastAsia="zh-CN"/>
        </w:rPr>
        <w:t>400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400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372.04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372.04</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400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93.01</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3.72</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93.01</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发改委</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，项目启动实施后，为了加快本项目的实施，成立了机场建设项目前期费项目工作领导小组，由党组书记</w:t>
      </w:r>
      <w:r>
        <w:rPr>
          <w:rFonts w:hint="eastAsia"/>
          <w:color w:val="auto"/>
          <w:highlight w:val="none"/>
          <w:lang w:eastAsia="zh-CN"/>
        </w:rPr>
        <w:t>李连齐</w:t>
      </w:r>
      <w:r>
        <w:rPr>
          <w:rFonts w:hint="eastAsia"/>
          <w:color w:val="auto"/>
          <w:highlight w:val="none"/>
        </w:rPr>
        <w:t>任组长，负责项目的组织工作；</w:t>
      </w:r>
      <w:r>
        <w:rPr>
          <w:rFonts w:hint="eastAsia"/>
          <w:color w:val="auto"/>
          <w:highlight w:val="none"/>
          <w:lang w:eastAsia="zh-CN"/>
        </w:rPr>
        <w:t>闫双双</w:t>
      </w:r>
      <w:r>
        <w:rPr>
          <w:rFonts w:hint="eastAsia"/>
          <w:color w:val="auto"/>
          <w:highlight w:val="none"/>
        </w:rPr>
        <w:t>任副组长，负责项目的实施工作；组员包括：帕日地古丽·艾白布和</w:t>
      </w:r>
      <w:r>
        <w:rPr>
          <w:rFonts w:hint="eastAsia"/>
          <w:color w:val="auto"/>
          <w:highlight w:val="none"/>
          <w:lang w:eastAsia="zh-CN"/>
        </w:rPr>
        <w:t>李进</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19.22</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编制可行性研究报告项目个数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编制选址报告项目个数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编制初步设计项目个数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按照项目前期工作流程，项目初步设计报告须在取得选址审查意见，可研报告通过终审后开展，项目于2023年7月13日召开选址报告审查会后，到2024年1月才取得民航新疆管理局关于选址的审查意见，因此直接影响项目初步设计报告的编制进度。改进措施：督促设计单位及上级部门抓紧开展项目前期报告编制工作，确保前期工作按照预期进度完成。</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eastAsia="仿宋_GB2312"/>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报告合格率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已完成选址报告和可研报告，其中可研报告在2024年1月取得民航新疆管理局关于选址的审查意见后才能最终定稿，因此2023年报告未及时通过终审；改进措施：督促设计单位及上级部门抓紧开展项目前期报告编制工作并通过终审，确保前期工作按照预期进度完成。</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报告按时完成率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66.67%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70.18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由于年初对项目选址审查意见批复的时间预估不准确，2024年1月才取得民航新疆管理局关于选址的审查意见，因此直接影响项目初步设计报告的编制进度，未能按时完成。改进措施：加强与设计单位和上级部门沟通力度，结合项目实际情况制定项目计划，确保前期工作成果按照预期计划及时完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资金及时支付率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96.38%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96.38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可行性研究报告和项目初步设计报告已委托编制，但未定稿、送审，因此尚未全额支付；改进措施：督促设计单位及上级部门抓紧开展项目前期报告编制工作，确保前期工作按照预期进度完成并提高资金及时支付率。</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11.01</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编制可行性研究报告费用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小于等于65万元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编制选址报告费用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小于等于225万元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225万元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编制初步设计费用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84.01万元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76.4</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项目初步设计报告已委托编制，但未定稿、送审，因此尚未全额支付；改进措施：督促设计单位及上级部门抓紧开展项目前期报告编制工作，确保前期工作按照预期进度完成并及时支付项目资金。</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b w:val="0"/>
          <w:bCs w:val="0"/>
          <w:color w:val="auto"/>
          <w:highlight w:val="none"/>
        </w:rPr>
      </w:pPr>
      <w:r>
        <w:rPr>
          <w:rFonts w:hint="eastAsia"/>
          <w:b w:val="0"/>
          <w:bCs w:val="0"/>
          <w:color w:val="auto"/>
          <w:highlight w:val="none"/>
        </w:rPr>
        <w:t>本项目无该指标。</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填补托克逊通用机场空白</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有效填补</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提升托克逊县及周边人群长途出行效率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b w:val="0"/>
          <w:bCs w:val="0"/>
          <w:color w:val="auto"/>
          <w:highlight w:val="none"/>
        </w:rPr>
      </w:pPr>
      <w:r>
        <w:rPr>
          <w:rFonts w:hint="eastAsia"/>
          <w:b w:val="0"/>
          <w:bCs w:val="0"/>
          <w:color w:val="auto"/>
          <w:highlight w:val="none"/>
        </w:rPr>
        <w:t>本项目无该指标。</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bookmarkEnd w:id="15"/>
    <w:p>
      <w:pPr>
        <w:bidi w:val="0"/>
        <w:rPr>
          <w:rFonts w:hint="eastAsia"/>
          <w:b w:val="0"/>
          <w:bCs w:val="0"/>
          <w:color w:val="auto"/>
          <w:highlight w:val="none"/>
        </w:rPr>
      </w:pPr>
      <w:r>
        <w:rPr>
          <w:rFonts w:hint="eastAsia"/>
          <w:b w:val="0"/>
          <w:bCs w:val="0"/>
          <w:color w:val="auto"/>
          <w:highlight w:val="none"/>
        </w:rPr>
        <w:t>本项目无该指标。</w:t>
      </w:r>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全年预算数为400万元，全年到位数为400万元，全年执行数为372.04万元，预算执行率为93.01%。</w:t>
      </w:r>
    </w:p>
    <w:p>
      <w:pPr>
        <w:pStyle w:val="2"/>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23</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18个，扣分指标数量5个，经分析计算所有三级指标完成率得出本项目</w:t>
      </w:r>
      <w:r>
        <w:rPr>
          <w:rFonts w:hint="eastAsia"/>
          <w:color w:val="auto"/>
          <w:highlight w:val="none"/>
        </w:rPr>
        <w:t>总体完成率为</w:t>
      </w:r>
      <w:r>
        <w:rPr>
          <w:rFonts w:hint="eastAsia"/>
          <w:color w:val="auto"/>
          <w:highlight w:val="none"/>
          <w:lang w:val="en-US" w:eastAsia="zh-CN"/>
        </w:rPr>
        <w:t>92.87</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综上所述本项目预算执行率与总体完成率之间的偏差为0.14%。</w:t>
      </w:r>
    </w:p>
    <w:p>
      <w:pPr>
        <w:pStyle w:val="4"/>
        <w:ind w:left="638" w:leftChars="228" w:firstLine="0" w:firstLineChars="0"/>
        <w:jc w:val="left"/>
        <w:rPr>
          <w:rFonts w:hint="eastAsia" w:ascii="Times New Roman" w:hAnsi="Times New Roman" w:cs="Times New Roman"/>
          <w:b/>
          <w:bCs/>
          <w:color w:val="auto"/>
          <w:highlight w:val="none"/>
          <w:lang w:val="en-US" w:eastAsia="zh-CN"/>
        </w:rPr>
      </w:pPr>
      <w:r>
        <w:rPr>
          <w:rFonts w:hint="eastAsia" w:cs="Times New Roman"/>
          <w:b/>
          <w:bCs/>
          <w:color w:val="auto"/>
          <w:highlight w:val="none"/>
          <w:lang w:val="en-US" w:eastAsia="zh-CN"/>
        </w:rPr>
        <w:t>六</w:t>
      </w:r>
      <w:r>
        <w:rPr>
          <w:rFonts w:hint="eastAsia" w:ascii="Times New Roman" w:hAnsi="Times New Roman" w:cs="Times New Roman"/>
          <w:b/>
          <w:bCs/>
          <w:color w:val="auto"/>
          <w:highlight w:val="none"/>
          <w:lang w:val="en-US" w:eastAsia="zh-CN"/>
        </w:rPr>
        <w:t>、主要经验及做法、存在的问题及原因分析</w:t>
      </w:r>
    </w:p>
    <w:p>
      <w:pPr>
        <w:pStyle w:val="5"/>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p>
      <w:pPr>
        <w:pStyle w:val="5"/>
        <w:numPr>
          <w:ilvl w:val="0"/>
          <w:numId w:val="0"/>
        </w:numPr>
        <w:ind w:firstLine="560" w:firstLineChars="20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1、严控资金的拨付使用，支出符合国家财经法规和财务管理制度规定以及有关专项资金管理办法的规定；</w:t>
      </w:r>
    </w:p>
    <w:p>
      <w:pPr>
        <w:pStyle w:val="5"/>
        <w:numPr>
          <w:ilvl w:val="0"/>
          <w:numId w:val="0"/>
        </w:numPr>
        <w:ind w:firstLine="560" w:firstLineChars="20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2、资金拨付有完整的审批程序和手续，并制定出了切实可行的实施计划、管理办法等；</w:t>
      </w:r>
    </w:p>
    <w:p>
      <w:pPr>
        <w:pStyle w:val="5"/>
        <w:numPr>
          <w:ilvl w:val="0"/>
          <w:numId w:val="0"/>
        </w:numPr>
        <w:ind w:firstLine="560" w:firstLineChars="20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3、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bookmarkEnd w:id="16"/>
    <w:bookmarkEnd w:id="17"/>
    <w:p>
      <w:pPr>
        <w:pStyle w:val="5"/>
        <w:numPr>
          <w:ilvl w:val="0"/>
          <w:numId w:val="3"/>
        </w:numPr>
        <w:ind w:firstLine="643"/>
        <w:rPr>
          <w:color w:val="auto"/>
          <w:highlight w:val="none"/>
        </w:rPr>
      </w:pPr>
      <w:r>
        <w:rPr>
          <w:rFonts w:hint="eastAsia"/>
          <w:color w:val="auto"/>
          <w:highlight w:val="none"/>
        </w:rPr>
        <w:t>存在的问题及原因分析</w:t>
      </w:r>
    </w:p>
    <w:p>
      <w:pPr>
        <w:pStyle w:val="2"/>
        <w:rPr>
          <w:rFonts w:hint="eastAsia"/>
          <w:color w:val="auto"/>
          <w:highlight w:val="none"/>
          <w:lang w:val="en-US" w:eastAsia="zh-CN"/>
        </w:rPr>
      </w:pPr>
      <w:r>
        <w:rPr>
          <w:rFonts w:hint="eastAsia"/>
          <w:color w:val="auto"/>
          <w:highlight w:val="none"/>
          <w:lang w:val="en-US" w:eastAsia="zh-CN"/>
        </w:rPr>
        <w:t>存在的问题：</w:t>
      </w:r>
    </w:p>
    <w:p>
      <w:pPr>
        <w:pStyle w:val="2"/>
        <w:rPr>
          <w:rFonts w:hint="eastAsia"/>
          <w:color w:val="auto"/>
          <w:highlight w:val="none"/>
          <w:lang w:val="en-US" w:eastAsia="zh-CN"/>
        </w:rPr>
      </w:pPr>
      <w:r>
        <w:rPr>
          <w:rFonts w:hint="eastAsia"/>
          <w:color w:val="auto"/>
          <w:highlight w:val="none"/>
          <w:lang w:val="en-US" w:eastAsia="zh-CN"/>
        </w:rPr>
        <w:t>1、项目未做好事前调研，项目指标预期值设置不够准确，项目的初步设计未按时开展。</w:t>
      </w:r>
    </w:p>
    <w:p>
      <w:pPr>
        <w:pStyle w:val="2"/>
        <w:rPr>
          <w:rFonts w:hint="eastAsia"/>
          <w:color w:val="auto"/>
          <w:highlight w:val="none"/>
          <w:lang w:val="en-US" w:eastAsia="zh-CN"/>
        </w:rPr>
      </w:pPr>
      <w:r>
        <w:rPr>
          <w:rFonts w:hint="eastAsia"/>
          <w:color w:val="auto"/>
          <w:highlight w:val="none"/>
          <w:lang w:val="en-US" w:eastAsia="zh-CN"/>
        </w:rPr>
        <w:t>2、项目由于到2024年1月才取得民航新疆管理局关于选址的审查意见，直接影响项目可研报告的定稿和送审，项目初步设计报告应在选址审查意见和在可研报告确定后编制，2023年未完成。</w:t>
      </w:r>
    </w:p>
    <w:p>
      <w:pPr>
        <w:pStyle w:val="2"/>
        <w:rPr>
          <w:rFonts w:hint="eastAsia" w:ascii="宋体" w:hAnsi="宋体"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导致以上问题的原因</w:t>
      </w:r>
      <w:r>
        <w:rPr>
          <w:rFonts w:hint="eastAsia" w:ascii="宋体" w:hAnsi="宋体" w:cs="宋体"/>
          <w:color w:val="auto"/>
          <w:kern w:val="0"/>
          <w:sz w:val="28"/>
          <w:szCs w:val="21"/>
          <w:highlight w:val="none"/>
          <w:lang w:val="en-US" w:eastAsia="zh-CN" w:bidi="ar"/>
        </w:rPr>
        <w:t>分析：</w:t>
      </w:r>
    </w:p>
    <w:p>
      <w:pPr>
        <w:pStyle w:val="2"/>
        <w:rPr>
          <w:rFonts w:hint="eastAsia"/>
          <w:color w:val="auto"/>
          <w:highlight w:val="none"/>
          <w:lang w:val="en-US" w:eastAsia="zh-CN"/>
        </w:rPr>
      </w:pPr>
      <w:r>
        <w:rPr>
          <w:rFonts w:hint="eastAsia" w:ascii="宋体" w:hAnsi="宋体" w:cs="宋体"/>
          <w:color w:val="auto"/>
          <w:kern w:val="0"/>
          <w:sz w:val="28"/>
          <w:szCs w:val="21"/>
          <w:highlight w:val="none"/>
          <w:lang w:val="en-US" w:eastAsia="zh-CN" w:bidi="ar"/>
        </w:rPr>
        <w:t>1、</w:t>
      </w:r>
      <w:r>
        <w:rPr>
          <w:rFonts w:hint="eastAsia"/>
          <w:color w:val="auto"/>
          <w:highlight w:val="none"/>
          <w:lang w:val="en-US" w:eastAsia="zh-CN"/>
        </w:rPr>
        <w:t>通过近几年对单位项目进行项目支出绩效评价工作，相关工作人员虽然逐步树立了绩效理念，但是了解的还不够深入，未能将社会效益指标进行量化，还需要进一步加强项目绩效培训。</w:t>
      </w:r>
    </w:p>
    <w:p>
      <w:pPr>
        <w:pStyle w:val="2"/>
        <w:rPr>
          <w:rFonts w:hint="eastAsia"/>
          <w:color w:val="auto"/>
          <w:highlight w:val="none"/>
          <w:lang w:val="en-US" w:eastAsia="zh-CN"/>
        </w:rPr>
      </w:pPr>
      <w:r>
        <w:rPr>
          <w:rFonts w:hint="eastAsia"/>
          <w:color w:val="auto"/>
          <w:highlight w:val="none"/>
          <w:lang w:val="en-US" w:eastAsia="zh-CN"/>
        </w:rPr>
        <w:t>2、单位人员对预算绩效管理工作的参与度还不够广泛，项目人员与财务人员对预算绩效管理工作的职责分工还不够明确，有待进一步加强。</w:t>
      </w:r>
    </w:p>
    <w:p>
      <w:pPr>
        <w:pStyle w:val="4"/>
        <w:ind w:firstLine="640"/>
        <w:rPr>
          <w:color w:val="auto"/>
          <w:highlight w:val="none"/>
        </w:rPr>
      </w:pPr>
      <w:r>
        <w:rPr>
          <w:rFonts w:hint="eastAsia"/>
          <w:color w:val="auto"/>
          <w:highlight w:val="none"/>
          <w:lang w:val="en-US" w:eastAsia="zh-CN"/>
        </w:rPr>
        <w:t>七</w:t>
      </w:r>
      <w:r>
        <w:rPr>
          <w:rFonts w:hint="eastAsia"/>
          <w:color w:val="auto"/>
          <w:highlight w:val="none"/>
        </w:rPr>
        <w:t>、有关建议</w:t>
      </w:r>
    </w:p>
    <w:p>
      <w:pPr>
        <w:rPr>
          <w:rFonts w:hint="eastAsia"/>
          <w:color w:val="auto"/>
          <w:highlight w:val="none"/>
        </w:rPr>
      </w:pPr>
      <w:r>
        <w:rPr>
          <w:rFonts w:hint="eastAsia"/>
          <w:color w:val="auto"/>
          <w:highlight w:val="none"/>
        </w:rPr>
        <w:t>1、进一步提高内部管理水平，健全本单位内部预算绩效管理制度，统筹协调各相关科室力量，明确各科室责任，确定专人，将项目绩效运行工作落实到实处。加强宣传动员和教育培训，引导机关干部和工作人员逐步树立绩效理念，了解掌握绩效管理的基本要求和操作规程，强化绩效管理工作的科学性和规范性，努力营造开展政府目标绩效管理工作的浓厚氛围和良好环境。</w:t>
      </w:r>
    </w:p>
    <w:p>
      <w:pPr>
        <w:rPr>
          <w:color w:val="auto"/>
          <w:highlight w:val="none"/>
        </w:rPr>
      </w:pPr>
      <w:r>
        <w:rPr>
          <w:rFonts w:hint="eastAsia"/>
          <w:color w:val="auto"/>
          <w:highlight w:val="none"/>
          <w:lang w:val="en-US" w:eastAsia="zh-CN"/>
        </w:rPr>
        <w:t>2</w:t>
      </w:r>
      <w:r>
        <w:rPr>
          <w:rFonts w:hint="eastAsia"/>
          <w:color w:val="auto"/>
          <w:highlight w:val="none"/>
        </w:rPr>
        <w:t>、做好项目事前调研工作，加强前期调研和学习，提高指标值设置测算准确率。督促设计单位及上级部门抓紧开展项目前期报告编制工作，确保前期工作按照预期进度完成。</w:t>
      </w:r>
    </w:p>
    <w:p>
      <w:pPr>
        <w:pStyle w:val="4"/>
        <w:ind w:firstLine="640"/>
        <w:rPr>
          <w:color w:val="auto"/>
          <w:highlight w:val="none"/>
        </w:rPr>
      </w:pPr>
      <w:r>
        <w:rPr>
          <w:rFonts w:hint="eastAsia"/>
          <w:color w:val="auto"/>
          <w:highlight w:val="none"/>
          <w:lang w:val="en-US"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val="en-US" w:eastAsia="zh-CN"/>
        </w:rPr>
        <w:t>九</w:t>
      </w:r>
      <w:r>
        <w:rPr>
          <w:rFonts w:hint="eastAsia"/>
          <w:color w:val="auto"/>
          <w:highlight w:val="none"/>
          <w:lang w:eastAsia="zh-CN"/>
        </w:rPr>
        <w:t>、</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00000" w:csb1="00000000"/>
  </w:font>
  <w:font w:name="方正小标宋_GBK">
    <w:altName w:val="微软雅黑"/>
    <w:panose1 w:val="02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D104A8"/>
    <w:rsid w:val="030821AB"/>
    <w:rsid w:val="05D57375"/>
    <w:rsid w:val="05DC0130"/>
    <w:rsid w:val="07047BBC"/>
    <w:rsid w:val="07BF43B9"/>
    <w:rsid w:val="09186A50"/>
    <w:rsid w:val="0AA95739"/>
    <w:rsid w:val="0ABA1CE8"/>
    <w:rsid w:val="0B003BAF"/>
    <w:rsid w:val="0EEA0D33"/>
    <w:rsid w:val="0FBF02FF"/>
    <w:rsid w:val="11127E6F"/>
    <w:rsid w:val="17B35DB7"/>
    <w:rsid w:val="1BA32DAE"/>
    <w:rsid w:val="1EEC7840"/>
    <w:rsid w:val="20B0488D"/>
    <w:rsid w:val="20BA3117"/>
    <w:rsid w:val="22453F7A"/>
    <w:rsid w:val="24B66DFE"/>
    <w:rsid w:val="263F6DB8"/>
    <w:rsid w:val="27D07D81"/>
    <w:rsid w:val="28844B0D"/>
    <w:rsid w:val="299E698D"/>
    <w:rsid w:val="2A601C1F"/>
    <w:rsid w:val="2BD33A10"/>
    <w:rsid w:val="2C60748C"/>
    <w:rsid w:val="30BC165A"/>
    <w:rsid w:val="349B22FF"/>
    <w:rsid w:val="35496A51"/>
    <w:rsid w:val="37CB7287"/>
    <w:rsid w:val="37E42059"/>
    <w:rsid w:val="38A66E25"/>
    <w:rsid w:val="39330366"/>
    <w:rsid w:val="3AEB5831"/>
    <w:rsid w:val="3CA86332"/>
    <w:rsid w:val="404D612E"/>
    <w:rsid w:val="41997ED4"/>
    <w:rsid w:val="4399350F"/>
    <w:rsid w:val="44A7249F"/>
    <w:rsid w:val="49CA28F5"/>
    <w:rsid w:val="4B945D75"/>
    <w:rsid w:val="50D34A78"/>
    <w:rsid w:val="517A337B"/>
    <w:rsid w:val="51E602A3"/>
    <w:rsid w:val="52C55120"/>
    <w:rsid w:val="53381D82"/>
    <w:rsid w:val="53F8370C"/>
    <w:rsid w:val="5A75471B"/>
    <w:rsid w:val="5C0872E0"/>
    <w:rsid w:val="5DA27C6B"/>
    <w:rsid w:val="5DC85232"/>
    <w:rsid w:val="5E3E73D6"/>
    <w:rsid w:val="63917C60"/>
    <w:rsid w:val="67E53F5E"/>
    <w:rsid w:val="6E8B7C84"/>
    <w:rsid w:val="6F1159C7"/>
    <w:rsid w:val="70E016AE"/>
    <w:rsid w:val="71FD0D95"/>
    <w:rsid w:val="72D90BB9"/>
    <w:rsid w:val="73B341EC"/>
    <w:rsid w:val="74A47BAE"/>
    <w:rsid w:val="777079EF"/>
    <w:rsid w:val="78BD6918"/>
    <w:rsid w:val="796E5CAB"/>
    <w:rsid w:val="7A3043AC"/>
    <w:rsid w:val="7ACB41CE"/>
    <w:rsid w:val="7B98579E"/>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next w:val="1"/>
    <w:qFormat/>
    <w:uiPriority w:val="0"/>
    <w:pPr>
      <w:ind w:firstLine="420" w:firstLineChars="200"/>
    </w:pPr>
  </w:style>
  <w:style w:type="character" w:styleId="14">
    <w:name w:val="Strong"/>
    <w:basedOn w:val="13"/>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8773</Words>
  <Characters>9431</Characters>
  <Lines>0</Lines>
  <Paragraphs>0</Paragraphs>
  <TotalTime>57</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